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bidi w:val="0"/>
        <w:rPr>
          <w:rFonts w:hint="default" w:ascii="Times New Roman" w:hAnsi="Times New Roman" w:eastAsia="仿宋_GB2312" w:cs="Times New Roman"/>
          <w:sz w:val="32"/>
          <w:szCs w:val="32"/>
          <w:lang w:val="en-US" w:eastAsia="zh-CN"/>
        </w:rPr>
      </w:pPr>
    </w:p>
    <w:p>
      <w:pPr>
        <w:spacing w:line="700" w:lineRule="exact"/>
        <w:jc w:val="center"/>
        <w:rPr>
          <w:rFonts w:hint="default" w:ascii="Times New Roman" w:hAnsi="Times New Roman" w:eastAsia="文星标宋" w:cs="Times New Roman"/>
          <w:sz w:val="44"/>
          <w:szCs w:val="44"/>
          <w:lang w:val="en-US" w:eastAsia="zh-CN"/>
        </w:rPr>
      </w:pPr>
      <w:bookmarkStart w:id="0" w:name="_GoBack"/>
      <w:r>
        <w:rPr>
          <w:rFonts w:hint="default" w:ascii="Times New Roman" w:hAnsi="Times New Roman" w:eastAsia="文星标宋" w:cs="Times New Roman"/>
          <w:sz w:val="44"/>
          <w:szCs w:val="44"/>
          <w:lang w:val="en-US" w:eastAsia="zh-CN"/>
        </w:rPr>
        <w:t>宣布失效和废止的规范性文件目录（10份）</w:t>
      </w:r>
      <w:bookmarkEnd w:id="0"/>
    </w:p>
    <w:tbl>
      <w:tblPr>
        <w:tblStyle w:val="3"/>
        <w:tblW w:w="9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5"/>
        <w:gridCol w:w="5299"/>
        <w:gridCol w:w="2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000000" w:sz="6" w:space="0"/>
              <w:left w:val="single" w:color="000000" w:sz="6" w:space="0"/>
              <w:bottom w:val="single" w:color="auto" w:sz="4" w:space="0"/>
              <w:right w:val="single" w:color="000000" w:sz="6" w:space="0"/>
            </w:tcBorders>
            <w:noWrap w:val="0"/>
            <w:tcMar>
              <w:left w:w="105" w:type="dxa"/>
              <w:right w:w="105" w:type="dxa"/>
            </w:tcMar>
            <w:vAlign w:val="center"/>
          </w:tcPr>
          <w:p>
            <w:pPr>
              <w:tabs>
                <w:tab w:val="left" w:pos="312"/>
              </w:tabs>
              <w:overflowPunct w:val="0"/>
              <w:spacing w:line="560" w:lineRule="exact"/>
              <w:ind w:left="0" w:leftChars="0" w:right="0" w:rightChars="0" w:firstLine="0" w:firstLineChars="0"/>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序号</w:t>
            </w:r>
          </w:p>
        </w:tc>
        <w:tc>
          <w:tcPr>
            <w:tcW w:w="5299" w:type="dxa"/>
            <w:tcBorders>
              <w:top w:val="single" w:color="000000" w:sz="6" w:space="0"/>
              <w:left w:val="nil"/>
              <w:bottom w:val="single" w:color="auto" w:sz="4" w:space="0"/>
              <w:right w:val="single" w:color="000000" w:sz="6" w:space="0"/>
            </w:tcBorders>
            <w:noWrap w:val="0"/>
            <w:tcMar>
              <w:left w:w="105" w:type="dxa"/>
              <w:right w:w="105" w:type="dxa"/>
            </w:tcMar>
            <w:vAlign w:val="center"/>
          </w:tcPr>
          <w:p>
            <w:pPr>
              <w:tabs>
                <w:tab w:val="left" w:pos="312"/>
              </w:tabs>
              <w:overflowPunct w:val="0"/>
              <w:spacing w:line="560" w:lineRule="exact"/>
              <w:ind w:left="0" w:leftChars="0" w:right="0" w:rightChars="0" w:firstLine="0" w:firstLineChars="0"/>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文件名称</w:t>
            </w:r>
          </w:p>
        </w:tc>
        <w:tc>
          <w:tcPr>
            <w:tcW w:w="2756" w:type="dxa"/>
            <w:tcBorders>
              <w:top w:val="single" w:color="000000" w:sz="6" w:space="0"/>
              <w:left w:val="nil"/>
              <w:bottom w:val="single" w:color="auto" w:sz="4" w:space="0"/>
              <w:right w:val="single" w:color="000000" w:sz="6" w:space="0"/>
            </w:tcBorders>
            <w:noWrap w:val="0"/>
            <w:tcMar>
              <w:left w:w="105" w:type="dxa"/>
              <w:right w:w="105" w:type="dxa"/>
            </w:tcMar>
            <w:vAlign w:val="center"/>
          </w:tcPr>
          <w:p>
            <w:pPr>
              <w:tabs>
                <w:tab w:val="left" w:pos="312"/>
              </w:tabs>
              <w:overflowPunct w:val="0"/>
              <w:spacing w:line="560" w:lineRule="exact"/>
              <w:ind w:left="0" w:leftChars="0" w:right="0" w:rightChars="0" w:firstLine="0" w:firstLineChars="0"/>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1</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新乡市工业和信息化局关于组织开展2022年国家和省级服务型制造示范遴选及评估评价工作的通知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67</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2</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新乡市工业和信息化局关于组织开展2022年度河南省“专精特新”中小企业认定工作的通知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75</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3</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新乡市工业和信息化局关于组织申报2022年全国新型消费示范项目、河南省第二批新型信息消费示范项目的通知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79</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4</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新乡市工业和信息化局关于贯彻落实河南省新冠肺炎疫情常态化防控工作方案（2.0版）做好全市工信系统疫情防控工作的通知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87</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5</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新乡市工业和信息化局关于开展2022年度河南省智能车间智能工厂申报工作的通知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101</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6</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新乡市工业和信息化局关于组织开展2022年度DCMM贯标试点申报工作的通知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102</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7</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新乡市工业和信息化局关于在全市工信系统开展疫情防控问题排查整改专项行动的通知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103</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8</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新乡市工业和信息化局关于推荐申报2022年度河南省首版次软件产品的通知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107</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9</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新乡市工业和信息化局关于组织开展2022年度河南省大数据发展创新平台申报工作的通知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111</w:t>
            </w:r>
            <w:r>
              <w:rPr>
                <w:rFonts w:hint="default" w:ascii="Times New Roman" w:hAnsi="Times New Roman" w:eastAsia="文星仿宋" w:cs="Times New Roman"/>
                <w:sz w:val="28"/>
                <w:szCs w:val="28"/>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97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文星仿宋" w:cs="Times New Roman"/>
                <w:sz w:val="28"/>
                <w:szCs w:val="28"/>
                <w:lang w:val="en-US" w:eastAsia="zh-CN"/>
              </w:rPr>
            </w:pPr>
            <w:r>
              <w:rPr>
                <w:rFonts w:hint="default" w:ascii="Times New Roman" w:hAnsi="Times New Roman" w:eastAsia="文星仿宋" w:cs="Times New Roman"/>
                <w:sz w:val="28"/>
                <w:szCs w:val="28"/>
                <w:lang w:val="en-US" w:eastAsia="zh-CN"/>
              </w:rPr>
              <w:t>10</w:t>
            </w:r>
          </w:p>
        </w:tc>
        <w:tc>
          <w:tcPr>
            <w:tcW w:w="5299"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新乡市工业和信息化局关于开展2022年大数据优秀企业优秀产品（服务）优秀解决方案和优秀应用案例遴选工作的通知</w:t>
            </w:r>
          </w:p>
        </w:tc>
        <w:tc>
          <w:tcPr>
            <w:tcW w:w="275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val="0"/>
              <w:tabs>
                <w:tab w:val="left" w:pos="312"/>
              </w:tabs>
              <w:kinsoku/>
              <w:wordWrap/>
              <w:overflowPunct w:val="0"/>
              <w:topLinePunct w:val="0"/>
              <w:autoSpaceDE/>
              <w:autoSpaceDN/>
              <w:bidi w:val="0"/>
              <w:adjustRightInd/>
              <w:snapToGrid/>
              <w:spacing w:line="400" w:lineRule="exact"/>
              <w:textAlignment w:val="auto"/>
              <w:rPr>
                <w:rFonts w:hint="default" w:ascii="Times New Roman" w:hAnsi="Times New Roman" w:eastAsia="文星仿宋" w:cs="Times New Roman"/>
                <w:sz w:val="28"/>
                <w:szCs w:val="28"/>
                <w:lang w:eastAsia="zh-CN"/>
              </w:rPr>
            </w:pPr>
            <w:r>
              <w:rPr>
                <w:rFonts w:hint="default" w:ascii="Times New Roman" w:hAnsi="Times New Roman" w:eastAsia="文星仿宋" w:cs="Times New Roman"/>
                <w:sz w:val="28"/>
                <w:szCs w:val="28"/>
                <w:lang w:eastAsia="zh-CN"/>
              </w:rPr>
              <w:t>新工信〔</w:t>
            </w:r>
            <w:r>
              <w:rPr>
                <w:rFonts w:hint="default" w:ascii="Times New Roman" w:hAnsi="Times New Roman" w:eastAsia="文星仿宋" w:cs="Times New Roman"/>
                <w:sz w:val="28"/>
                <w:szCs w:val="28"/>
                <w:lang w:val="en-US" w:eastAsia="zh-CN"/>
              </w:rPr>
              <w:t>2022</w:t>
            </w:r>
            <w:r>
              <w:rPr>
                <w:rFonts w:hint="default" w:ascii="Times New Roman" w:hAnsi="Times New Roman" w:eastAsia="文星仿宋" w:cs="Times New Roman"/>
                <w:sz w:val="28"/>
                <w:szCs w:val="28"/>
                <w:lang w:eastAsia="zh-CN"/>
              </w:rPr>
              <w:t>〕</w:t>
            </w:r>
            <w:r>
              <w:rPr>
                <w:rFonts w:hint="default" w:ascii="Times New Roman" w:hAnsi="Times New Roman" w:eastAsia="文星仿宋" w:cs="Times New Roman"/>
                <w:sz w:val="28"/>
                <w:szCs w:val="28"/>
                <w:lang w:val="en-US" w:eastAsia="zh-CN"/>
              </w:rPr>
              <w:t>116</w:t>
            </w:r>
            <w:r>
              <w:rPr>
                <w:rFonts w:hint="default" w:ascii="Times New Roman" w:hAnsi="Times New Roman" w:eastAsia="文星仿宋" w:cs="Times New Roman"/>
                <w:sz w:val="28"/>
                <w:szCs w:val="28"/>
                <w:lang w:eastAsia="zh-CN"/>
              </w:rPr>
              <w:t>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NzJkODY4N2IzMmExMmVlN2MwZjkxNmU5ZmI4ZTIifQ=="/>
  </w:docVars>
  <w:rsids>
    <w:rsidRoot w:val="24C97D62"/>
    <w:rsid w:val="24C9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2023-03-09T01:09:00Z</dcterms:created>
  <dc:creator>赵家三少</dc:creator>
  <cp:lastModifiedBy>赵家三少</cp:lastModifiedBy>
  <dcterms:modified xsi:type="dcterms:W3CDTF">2023-03-09T01:10:07Z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5B11468852444941A493ADFCDE769B65</vt:lpwstr>
  </property>
</Properties>
</file>